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0034B" w14:textId="6A2A68C5" w:rsidR="00F819B3" w:rsidRDefault="005D70D9" w:rsidP="00E05990">
      <w:pPr>
        <w:jc w:val="both"/>
        <w:rPr>
          <w:b/>
        </w:rPr>
      </w:pPr>
      <w:r>
        <w:rPr>
          <w:b/>
        </w:rPr>
        <w:t xml:space="preserve">Probing the tropical tropopause layer for organic and inorganic bromine </w:t>
      </w:r>
      <w:bookmarkStart w:id="0" w:name="_GoBack"/>
      <w:bookmarkEnd w:id="0"/>
    </w:p>
    <w:p w14:paraId="574B3E0B" w14:textId="77777777" w:rsidR="0064778B" w:rsidRDefault="0064778B" w:rsidP="00F819B3"/>
    <w:p w14:paraId="7C98181D" w14:textId="64D5A433" w:rsidR="00F819B3" w:rsidRPr="00C56AE6" w:rsidRDefault="00C56AE6" w:rsidP="00C56AE6">
      <w:pPr>
        <w:autoSpaceDE w:val="0"/>
        <w:autoSpaceDN w:val="0"/>
        <w:adjustRightInd w:val="0"/>
        <w:rPr>
          <w:rFonts w:cs="NimbusRomNo9L-Regu"/>
        </w:rPr>
      </w:pPr>
      <w:r w:rsidRPr="00C56AE6">
        <w:rPr>
          <w:rFonts w:cs="NimbusRomNo9L-Medi"/>
        </w:rPr>
        <w:t>K. Pfeilsticker</w:t>
      </w:r>
      <w:r w:rsidRPr="00C56AE6">
        <w:rPr>
          <w:rFonts w:cs="NimbusRomNo9L-Regu"/>
          <w:vertAlign w:val="superscript"/>
        </w:rPr>
        <w:t>1</w:t>
      </w:r>
      <w:r w:rsidRPr="00C56AE6">
        <w:rPr>
          <w:rFonts w:cs="NimbusRomNo9L-Regu"/>
        </w:rPr>
        <w:t xml:space="preserve">, </w:t>
      </w:r>
      <w:r w:rsidRPr="00C56AE6">
        <w:rPr>
          <w:rFonts w:cs="NimbusRomNo9L-Medi"/>
        </w:rPr>
        <w:t>B. Werner</w:t>
      </w:r>
      <w:r w:rsidRPr="00C56AE6">
        <w:rPr>
          <w:rFonts w:cs="NimbusRomNo9L-Regu"/>
          <w:vertAlign w:val="superscript"/>
        </w:rPr>
        <w:t>1</w:t>
      </w:r>
      <w:r w:rsidRPr="00C56AE6">
        <w:rPr>
          <w:rFonts w:cs="NimbusRomNo9L-Medi"/>
        </w:rPr>
        <w:t>, E. Atlas</w:t>
      </w:r>
      <w:r w:rsidRPr="00C56AE6">
        <w:rPr>
          <w:rFonts w:cs="NimbusRomNo9L-Regu"/>
          <w:vertAlign w:val="superscript"/>
        </w:rPr>
        <w:t>6</w:t>
      </w:r>
      <w:r w:rsidRPr="00C56AE6">
        <w:rPr>
          <w:rFonts w:cs="NimbusRomNo9L-Medi"/>
        </w:rPr>
        <w:t>, R. Cheung</w:t>
      </w:r>
      <w:r w:rsidRPr="00C56AE6">
        <w:rPr>
          <w:rFonts w:cs="NimbusRomNo9L-Regu"/>
          <w:vertAlign w:val="superscript"/>
        </w:rPr>
        <w:t>2</w:t>
      </w:r>
      <w:r w:rsidRPr="00C56AE6">
        <w:rPr>
          <w:rFonts w:cs="NimbusRomNo9L-Medi"/>
        </w:rPr>
        <w:t>, M. P. Chipperfield</w:t>
      </w:r>
      <w:r w:rsidRPr="00C56AE6">
        <w:rPr>
          <w:rFonts w:cs="NimbusRomNo9L-Regu"/>
          <w:vertAlign w:val="superscript"/>
        </w:rPr>
        <w:t>3</w:t>
      </w:r>
      <w:r w:rsidRPr="00C56AE6">
        <w:rPr>
          <w:rFonts w:cs="NimbusRomNo9L-Medi"/>
        </w:rPr>
        <w:t>, F. Colosimo</w:t>
      </w:r>
      <w:r w:rsidRPr="00C56AE6">
        <w:rPr>
          <w:rFonts w:cs="NimbusRomNo9L-Regu"/>
          <w:vertAlign w:val="superscript"/>
        </w:rPr>
        <w:t>2</w:t>
      </w:r>
      <w:r w:rsidRPr="00C56AE6">
        <w:rPr>
          <w:rFonts w:cs="NimbusRomNo9L-Medi"/>
        </w:rPr>
        <w:t>, T. Deutschmann</w:t>
      </w:r>
      <w:r w:rsidRPr="00C56AE6">
        <w:rPr>
          <w:rFonts w:cs="NimbusRomNo9L-Regu"/>
          <w:vertAlign w:val="superscript"/>
        </w:rPr>
        <w:t>1</w:t>
      </w:r>
      <w:r w:rsidRPr="00C56AE6">
        <w:rPr>
          <w:rFonts w:cs="NimbusRomNo9L-Medi"/>
        </w:rPr>
        <w:t>, J. Elkins</w:t>
      </w:r>
      <w:r w:rsidRPr="00C56AE6">
        <w:rPr>
          <w:rFonts w:cs="NimbusRomNo9L-Regu"/>
          <w:vertAlign w:val="superscript"/>
        </w:rPr>
        <w:t>5</w:t>
      </w:r>
      <w:r w:rsidRPr="00C56AE6">
        <w:rPr>
          <w:rFonts w:cs="NimbusRomNo9L-Medi"/>
        </w:rPr>
        <w:t>, D. Fahey</w:t>
      </w:r>
      <w:r w:rsidRPr="0064778B">
        <w:rPr>
          <w:rFonts w:cs="NimbusRomNo9L-Regu"/>
          <w:vertAlign w:val="superscript"/>
        </w:rPr>
        <w:t>5</w:t>
      </w:r>
      <w:r w:rsidRPr="00C56AE6">
        <w:rPr>
          <w:rFonts w:cs="NimbusRomNo9L-Medi"/>
        </w:rPr>
        <w:t>, W. Feng</w:t>
      </w:r>
      <w:r w:rsidRPr="0064778B">
        <w:rPr>
          <w:rFonts w:cs="NimbusRomNo9L-Regu"/>
          <w:vertAlign w:val="superscript"/>
        </w:rPr>
        <w:t>4</w:t>
      </w:r>
      <w:r w:rsidRPr="00C56AE6">
        <w:rPr>
          <w:rFonts w:cs="NimbusRomNo9L-Medi"/>
        </w:rPr>
        <w:t>, J. Festa</w:t>
      </w:r>
      <w:r w:rsidRPr="0064778B">
        <w:rPr>
          <w:rFonts w:cs="NimbusRomNo9L-Regu"/>
          <w:vertAlign w:val="superscript"/>
        </w:rPr>
        <w:t>2</w:t>
      </w:r>
      <w:r w:rsidRPr="00C56AE6">
        <w:rPr>
          <w:rFonts w:cs="NimbusRomNo9L-Medi"/>
        </w:rPr>
        <w:t>, Ru-Shan Gao</w:t>
      </w:r>
      <w:r w:rsidRPr="0064778B">
        <w:rPr>
          <w:rFonts w:cs="NimbusRomNo9L-Regu"/>
          <w:vertAlign w:val="superscript"/>
        </w:rPr>
        <w:t>5</w:t>
      </w:r>
      <w:r w:rsidRPr="00C56AE6">
        <w:rPr>
          <w:rFonts w:cs="NimbusRomNo9L-Medi"/>
        </w:rPr>
        <w:t>, R. Hossaini</w:t>
      </w:r>
      <w:r w:rsidRPr="0064778B">
        <w:rPr>
          <w:rFonts w:cs="NimbusRomNo9L-Regu"/>
          <w:vertAlign w:val="superscript"/>
        </w:rPr>
        <w:t>3</w:t>
      </w:r>
      <w:r w:rsidRPr="00C56AE6">
        <w:rPr>
          <w:rFonts w:cs="NimbusRomNo9L-Medi"/>
        </w:rPr>
        <w:t>, M. Navarro</w:t>
      </w:r>
      <w:r w:rsidRPr="0064778B">
        <w:rPr>
          <w:rFonts w:cs="NimbusRomNo9L-Regu"/>
          <w:vertAlign w:val="superscript"/>
        </w:rPr>
        <w:t>6</w:t>
      </w:r>
      <w:r w:rsidRPr="00C56AE6">
        <w:rPr>
          <w:rFonts w:cs="NimbusRomNo9L-Medi"/>
        </w:rPr>
        <w:t>, R. Raecke</w:t>
      </w:r>
      <w:r w:rsidRPr="0064778B">
        <w:rPr>
          <w:rFonts w:cs="NimbusRomNo9L-Regu"/>
          <w:vertAlign w:val="superscript"/>
        </w:rPr>
        <w:t>1</w:t>
      </w:r>
      <w:r w:rsidRPr="00C56AE6">
        <w:rPr>
          <w:rFonts w:cs="NimbusRomNo9L-Medi"/>
        </w:rPr>
        <w:t>, L. Scalone</w:t>
      </w:r>
      <w:r w:rsidRPr="0064778B">
        <w:rPr>
          <w:rFonts w:cs="NimbusRomNo9L-Regu"/>
          <w:vertAlign w:val="superscript"/>
        </w:rPr>
        <w:t>1</w:t>
      </w:r>
      <w:r w:rsidRPr="00C56AE6">
        <w:rPr>
          <w:rFonts w:cs="NimbusRomNo9L-Medi"/>
        </w:rPr>
        <w:t>, M. Spolaor</w:t>
      </w:r>
      <w:r w:rsidRPr="0064778B">
        <w:rPr>
          <w:rFonts w:cs="NimbusRomNo9L-Regu"/>
          <w:vertAlign w:val="superscript"/>
        </w:rPr>
        <w:t>2</w:t>
      </w:r>
      <w:r w:rsidRPr="00C56AE6">
        <w:rPr>
          <w:rFonts w:cs="NimbusRomNo9L-Medi"/>
        </w:rPr>
        <w:t xml:space="preserve">, </w:t>
      </w:r>
      <w:r w:rsidR="000004F1">
        <w:t>T. Thornberry</w:t>
      </w:r>
      <w:r w:rsidR="000004F1" w:rsidRPr="0064778B">
        <w:rPr>
          <w:rFonts w:cs="NimbusRomNo9L-Regu"/>
          <w:vertAlign w:val="superscript"/>
        </w:rPr>
        <w:t>5</w:t>
      </w:r>
      <w:r w:rsidR="000004F1">
        <w:t xml:space="preserve">, </w:t>
      </w:r>
      <w:r w:rsidR="00FA0132">
        <w:rPr>
          <w:rFonts w:cs="NimbusRomNo9L-Medi"/>
        </w:rPr>
        <w:t>C</w:t>
      </w:r>
      <w:r w:rsidRPr="00C56AE6">
        <w:rPr>
          <w:rFonts w:cs="NimbusRomNo9L-Medi"/>
        </w:rPr>
        <w:t>. Tsai</w:t>
      </w:r>
      <w:r w:rsidRPr="0064778B">
        <w:rPr>
          <w:rFonts w:cs="NimbusRomNo9L-Regu"/>
          <w:vertAlign w:val="superscript"/>
        </w:rPr>
        <w:t>2</w:t>
      </w:r>
      <w:r w:rsidRPr="00C56AE6">
        <w:rPr>
          <w:rFonts w:cs="NimbusRomNo9L-Medi"/>
        </w:rPr>
        <w:t>, and J. Stutz</w:t>
      </w:r>
      <w:r w:rsidRPr="0064778B">
        <w:rPr>
          <w:rFonts w:cs="NimbusRomNo9L-Regu"/>
          <w:vertAlign w:val="superscript"/>
        </w:rPr>
        <w:t>2</w:t>
      </w:r>
      <w:r w:rsidRPr="00C56AE6">
        <w:rPr>
          <w:rFonts w:cs="NimbusRomNo9L-Medi"/>
        </w:rPr>
        <w:t xml:space="preserve"> </w:t>
      </w:r>
    </w:p>
    <w:p w14:paraId="71E214DB" w14:textId="77777777" w:rsidR="00C56AE6" w:rsidRDefault="00C56AE6" w:rsidP="00C56AE6"/>
    <w:p w14:paraId="09470D5F" w14:textId="77777777" w:rsidR="00C56AE6" w:rsidRPr="00C56AE6" w:rsidRDefault="00C56AE6" w:rsidP="00C56AE6">
      <w:pPr>
        <w:autoSpaceDE w:val="0"/>
        <w:autoSpaceDN w:val="0"/>
        <w:adjustRightInd w:val="0"/>
        <w:rPr>
          <w:rFonts w:cs="NimbusRomNo9L-Regu"/>
          <w:i/>
          <w:sz w:val="20"/>
          <w:szCs w:val="20"/>
        </w:rPr>
      </w:pPr>
      <w:r w:rsidRPr="00C56AE6">
        <w:rPr>
          <w:rFonts w:cs="NimbusRomNo9L-Regu"/>
          <w:i/>
          <w:sz w:val="20"/>
          <w:szCs w:val="20"/>
          <w:vertAlign w:val="superscript"/>
        </w:rPr>
        <w:t>1</w:t>
      </w:r>
      <w:r w:rsidRPr="00C56AE6">
        <w:rPr>
          <w:rFonts w:cs="NimbusRomNo9L-Regu"/>
          <w:i/>
          <w:sz w:val="20"/>
          <w:szCs w:val="20"/>
        </w:rPr>
        <w:t>Institute of Environmental Physics, University of Heidelberg, Heidelberg, Germany</w:t>
      </w:r>
    </w:p>
    <w:p w14:paraId="05D8BA13" w14:textId="77777777" w:rsidR="00C56AE6" w:rsidRPr="00C56AE6" w:rsidRDefault="00C56AE6" w:rsidP="00C56AE6">
      <w:pPr>
        <w:autoSpaceDE w:val="0"/>
        <w:autoSpaceDN w:val="0"/>
        <w:adjustRightInd w:val="0"/>
        <w:rPr>
          <w:rFonts w:cs="NimbusRomNo9L-Regu"/>
          <w:i/>
          <w:sz w:val="20"/>
          <w:szCs w:val="20"/>
        </w:rPr>
      </w:pPr>
      <w:r w:rsidRPr="00C56AE6">
        <w:rPr>
          <w:rFonts w:cs="NimbusRomNo9L-Regu"/>
          <w:i/>
          <w:sz w:val="20"/>
          <w:szCs w:val="20"/>
          <w:vertAlign w:val="superscript"/>
        </w:rPr>
        <w:t>2</w:t>
      </w:r>
      <w:r w:rsidRPr="00C56AE6">
        <w:rPr>
          <w:rFonts w:cs="NimbusRomNo9L-Regu"/>
          <w:i/>
          <w:sz w:val="20"/>
          <w:szCs w:val="20"/>
        </w:rPr>
        <w:t>Department of Atmospheric and Oceanic Science, University of California Los Angeles, Los Angeles, USA</w:t>
      </w:r>
    </w:p>
    <w:p w14:paraId="66672618" w14:textId="77777777" w:rsidR="00C56AE6" w:rsidRPr="00C56AE6" w:rsidRDefault="00C56AE6" w:rsidP="00C56AE6">
      <w:pPr>
        <w:autoSpaceDE w:val="0"/>
        <w:autoSpaceDN w:val="0"/>
        <w:adjustRightInd w:val="0"/>
        <w:rPr>
          <w:rFonts w:cs="NimbusRomNo9L-Regu"/>
          <w:i/>
          <w:sz w:val="20"/>
          <w:szCs w:val="20"/>
        </w:rPr>
      </w:pPr>
      <w:r w:rsidRPr="00C56AE6">
        <w:rPr>
          <w:rFonts w:cs="NimbusRomNo9L-Regu"/>
          <w:i/>
          <w:sz w:val="20"/>
          <w:szCs w:val="20"/>
          <w:vertAlign w:val="superscript"/>
        </w:rPr>
        <w:t>3</w:t>
      </w:r>
      <w:r w:rsidRPr="00C56AE6">
        <w:rPr>
          <w:rFonts w:cs="NimbusRomNo9L-Regu"/>
          <w:i/>
          <w:sz w:val="20"/>
          <w:szCs w:val="20"/>
        </w:rPr>
        <w:t>Institute for Climate and Atmospheric Science, School of Earth and Environment, University of Leeds, Leeds, UK</w:t>
      </w:r>
    </w:p>
    <w:p w14:paraId="1E2D5398" w14:textId="77777777" w:rsidR="00C56AE6" w:rsidRPr="00C56AE6" w:rsidRDefault="00C56AE6" w:rsidP="00C56AE6">
      <w:pPr>
        <w:autoSpaceDE w:val="0"/>
        <w:autoSpaceDN w:val="0"/>
        <w:adjustRightInd w:val="0"/>
        <w:rPr>
          <w:rFonts w:cs="NimbusRomNo9L-Regu"/>
          <w:i/>
          <w:sz w:val="20"/>
          <w:szCs w:val="20"/>
        </w:rPr>
      </w:pPr>
      <w:r w:rsidRPr="00C56AE6">
        <w:rPr>
          <w:rFonts w:cs="NimbusRomNo9L-Regu"/>
          <w:i/>
          <w:sz w:val="20"/>
          <w:szCs w:val="20"/>
          <w:vertAlign w:val="superscript"/>
        </w:rPr>
        <w:t>4</w:t>
      </w:r>
      <w:r w:rsidRPr="00C56AE6">
        <w:rPr>
          <w:rFonts w:cs="NimbusRomNo9L-Regu"/>
          <w:i/>
          <w:sz w:val="20"/>
          <w:szCs w:val="20"/>
        </w:rPr>
        <w:t>National Centre for Atmospheric Science, School of Earth and Environment, University of Leeds, UK</w:t>
      </w:r>
    </w:p>
    <w:p w14:paraId="4BEC9EC6" w14:textId="77777777" w:rsidR="00C56AE6" w:rsidRPr="00C56AE6" w:rsidRDefault="00C56AE6" w:rsidP="00C56AE6">
      <w:pPr>
        <w:autoSpaceDE w:val="0"/>
        <w:autoSpaceDN w:val="0"/>
        <w:adjustRightInd w:val="0"/>
        <w:rPr>
          <w:rFonts w:cs="NimbusRomNo9L-Regu"/>
          <w:i/>
          <w:sz w:val="20"/>
          <w:szCs w:val="20"/>
        </w:rPr>
      </w:pPr>
      <w:r w:rsidRPr="00C56AE6">
        <w:rPr>
          <w:rFonts w:cs="NimbusRomNo9L-Regu"/>
          <w:i/>
          <w:sz w:val="20"/>
          <w:szCs w:val="20"/>
          <w:vertAlign w:val="superscript"/>
        </w:rPr>
        <w:t>5</w:t>
      </w:r>
      <w:r w:rsidRPr="00C56AE6">
        <w:rPr>
          <w:rFonts w:cs="NimbusRomNo9L-Regu"/>
          <w:i/>
          <w:sz w:val="20"/>
          <w:szCs w:val="20"/>
        </w:rPr>
        <w:t>NOAA Earth System Research Laboratory, Boulder, USA</w:t>
      </w:r>
    </w:p>
    <w:p w14:paraId="4F93E061" w14:textId="77777777" w:rsidR="001A77D7" w:rsidRPr="00C56AE6" w:rsidRDefault="00C56AE6" w:rsidP="00C56AE6">
      <w:pPr>
        <w:rPr>
          <w:i/>
          <w:sz w:val="20"/>
          <w:szCs w:val="20"/>
        </w:rPr>
      </w:pPr>
      <w:r w:rsidRPr="00C56AE6">
        <w:rPr>
          <w:rFonts w:cs="NimbusRomNo9L-Regu"/>
          <w:i/>
          <w:sz w:val="20"/>
          <w:szCs w:val="20"/>
          <w:vertAlign w:val="superscript"/>
        </w:rPr>
        <w:t>6</w:t>
      </w:r>
      <w:r w:rsidRPr="00C56AE6">
        <w:rPr>
          <w:rFonts w:cs="NimbusRomNo9L-Regu"/>
          <w:i/>
          <w:sz w:val="20"/>
          <w:szCs w:val="20"/>
        </w:rPr>
        <w:t xml:space="preserve">The </w:t>
      </w:r>
      <w:proofErr w:type="spellStart"/>
      <w:r w:rsidRPr="00C56AE6">
        <w:rPr>
          <w:rFonts w:cs="NimbusRomNo9L-Regu"/>
          <w:i/>
          <w:sz w:val="20"/>
          <w:szCs w:val="20"/>
        </w:rPr>
        <w:t>Rosenstiel</w:t>
      </w:r>
      <w:proofErr w:type="spellEnd"/>
      <w:r w:rsidRPr="00C56AE6">
        <w:rPr>
          <w:rFonts w:cs="NimbusRomNo9L-Regu"/>
          <w:i/>
          <w:sz w:val="20"/>
          <w:szCs w:val="20"/>
        </w:rPr>
        <w:t xml:space="preserve"> School of Marine and Atmospheric Science, University of Miami, Miami, USA</w:t>
      </w:r>
    </w:p>
    <w:p w14:paraId="7713C9E5" w14:textId="77777777" w:rsidR="000B42E0" w:rsidRDefault="000B42E0" w:rsidP="001F1CD4">
      <w:pPr>
        <w:spacing w:before="120"/>
        <w:rPr>
          <w:sz w:val="22"/>
          <w:szCs w:val="22"/>
        </w:rPr>
      </w:pPr>
    </w:p>
    <w:p w14:paraId="4D353C2B" w14:textId="07EE0032" w:rsidR="008D58A8" w:rsidRDefault="008D58A8" w:rsidP="008D58A8">
      <w:pPr>
        <w:jc w:val="both"/>
        <w:rPr>
          <w:sz w:val="22"/>
          <w:szCs w:val="22"/>
        </w:rPr>
      </w:pPr>
      <w:r w:rsidRPr="008D58A8">
        <w:rPr>
          <w:sz w:val="22"/>
          <w:szCs w:val="22"/>
        </w:rPr>
        <w:t xml:space="preserve">Bromine </w:t>
      </w:r>
      <w:r>
        <w:rPr>
          <w:sz w:val="22"/>
          <w:szCs w:val="22"/>
        </w:rPr>
        <w:t xml:space="preserve">chemistry impacts </w:t>
      </w:r>
      <w:r w:rsidRPr="008D58A8">
        <w:rPr>
          <w:sz w:val="22"/>
          <w:szCs w:val="22"/>
        </w:rPr>
        <w:t xml:space="preserve">the levels of ozone in the upper troposphere and the stratosphere. An accurate quantitative understanding of the sources, sinks, and chemical transformation of bromine species is thus important to understand the </w:t>
      </w:r>
      <w:r w:rsidR="006462AE">
        <w:rPr>
          <w:sz w:val="22"/>
          <w:szCs w:val="22"/>
        </w:rPr>
        <w:t xml:space="preserve">photochemistry and </w:t>
      </w:r>
      <w:r w:rsidRPr="008D58A8">
        <w:rPr>
          <w:sz w:val="22"/>
          <w:szCs w:val="22"/>
        </w:rPr>
        <w:t xml:space="preserve">budget </w:t>
      </w:r>
      <w:r w:rsidR="006462AE">
        <w:rPr>
          <w:sz w:val="22"/>
          <w:szCs w:val="22"/>
        </w:rPr>
        <w:t xml:space="preserve">of bromine </w:t>
      </w:r>
      <w:r w:rsidRPr="008D58A8">
        <w:rPr>
          <w:sz w:val="22"/>
          <w:szCs w:val="22"/>
        </w:rPr>
        <w:t xml:space="preserve">in the </w:t>
      </w:r>
      <w:r w:rsidR="008721AC">
        <w:rPr>
          <w:sz w:val="22"/>
          <w:szCs w:val="22"/>
        </w:rPr>
        <w:t xml:space="preserve">tropical </w:t>
      </w:r>
      <w:r w:rsidRPr="008D58A8">
        <w:rPr>
          <w:sz w:val="22"/>
          <w:szCs w:val="22"/>
        </w:rPr>
        <w:t>upper troposphere</w:t>
      </w:r>
      <w:r w:rsidR="008721AC">
        <w:rPr>
          <w:sz w:val="22"/>
          <w:szCs w:val="22"/>
        </w:rPr>
        <w:t>, tropopause layer and</w:t>
      </w:r>
      <w:r w:rsidRPr="008D58A8">
        <w:rPr>
          <w:sz w:val="22"/>
          <w:szCs w:val="22"/>
        </w:rPr>
        <w:t xml:space="preserve"> lower</w:t>
      </w:r>
      <w:r w:rsidR="008721AC">
        <w:rPr>
          <w:sz w:val="22"/>
          <w:szCs w:val="22"/>
        </w:rPr>
        <w:t>most</w:t>
      </w:r>
      <w:r w:rsidRPr="008D58A8">
        <w:rPr>
          <w:sz w:val="22"/>
          <w:szCs w:val="22"/>
        </w:rPr>
        <w:t xml:space="preserve"> stratosphere (UT</w:t>
      </w:r>
      <w:r w:rsidR="008721AC">
        <w:rPr>
          <w:sz w:val="22"/>
          <w:szCs w:val="22"/>
        </w:rPr>
        <w:t>/TTL/</w:t>
      </w:r>
      <w:r w:rsidRPr="008D58A8">
        <w:rPr>
          <w:sz w:val="22"/>
          <w:szCs w:val="22"/>
        </w:rPr>
        <w:t>LS)</w:t>
      </w:r>
      <w:r w:rsidR="008721AC">
        <w:rPr>
          <w:sz w:val="22"/>
          <w:szCs w:val="22"/>
        </w:rPr>
        <w:t xml:space="preserve">. These regions are also known </w:t>
      </w:r>
      <w:r w:rsidR="006462AE">
        <w:rPr>
          <w:sz w:val="22"/>
          <w:szCs w:val="22"/>
        </w:rPr>
        <w:t>to serve</w:t>
      </w:r>
      <w:r w:rsidRPr="008D58A8">
        <w:rPr>
          <w:sz w:val="22"/>
          <w:szCs w:val="22"/>
        </w:rPr>
        <w:t xml:space="preserve"> as a gate</w:t>
      </w:r>
      <w:r w:rsidR="008721AC">
        <w:rPr>
          <w:sz w:val="22"/>
          <w:szCs w:val="22"/>
        </w:rPr>
        <w:t>way</w:t>
      </w:r>
      <w:r w:rsidRPr="008D58A8">
        <w:rPr>
          <w:sz w:val="22"/>
          <w:szCs w:val="22"/>
        </w:rPr>
        <w:t xml:space="preserve"> </w:t>
      </w:r>
      <w:r w:rsidR="008721AC">
        <w:rPr>
          <w:sz w:val="22"/>
          <w:szCs w:val="22"/>
        </w:rPr>
        <w:t xml:space="preserve">for delivery of ozone depleting gases </w:t>
      </w:r>
      <w:r w:rsidRPr="008D58A8">
        <w:rPr>
          <w:sz w:val="22"/>
          <w:szCs w:val="22"/>
        </w:rPr>
        <w:t xml:space="preserve">to the stratosphere. </w:t>
      </w:r>
      <w:r w:rsidR="0011494B">
        <w:rPr>
          <w:sz w:val="22"/>
          <w:szCs w:val="22"/>
        </w:rPr>
        <w:t>CH</w:t>
      </w:r>
      <w:r w:rsidR="0011494B" w:rsidRPr="0011494B">
        <w:rPr>
          <w:sz w:val="22"/>
          <w:szCs w:val="22"/>
          <w:vertAlign w:val="subscript"/>
        </w:rPr>
        <w:t>3</w:t>
      </w:r>
      <w:r w:rsidR="0011494B">
        <w:rPr>
          <w:sz w:val="22"/>
          <w:szCs w:val="22"/>
        </w:rPr>
        <w:t xml:space="preserve">Br, halons, and </w:t>
      </w:r>
      <w:r w:rsidRPr="008D58A8">
        <w:rPr>
          <w:sz w:val="22"/>
          <w:szCs w:val="22"/>
        </w:rPr>
        <w:t>short-lived organic bromine precursors</w:t>
      </w:r>
      <w:r w:rsidR="00701BFA">
        <w:rPr>
          <w:sz w:val="22"/>
          <w:szCs w:val="22"/>
        </w:rPr>
        <w:t xml:space="preserve"> (VSLS)</w:t>
      </w:r>
      <w:r w:rsidRPr="008D58A8">
        <w:rPr>
          <w:sz w:val="22"/>
          <w:szCs w:val="22"/>
        </w:rPr>
        <w:t>, such as CHBr</w:t>
      </w:r>
      <w:r w:rsidRPr="008D58A8">
        <w:rPr>
          <w:sz w:val="22"/>
          <w:szCs w:val="22"/>
          <w:vertAlign w:val="subscript"/>
        </w:rPr>
        <w:t>3</w:t>
      </w:r>
      <w:r w:rsidRPr="008D58A8">
        <w:rPr>
          <w:sz w:val="22"/>
          <w:szCs w:val="22"/>
        </w:rPr>
        <w:t>, CH</w:t>
      </w:r>
      <w:r w:rsidRPr="008D58A8">
        <w:rPr>
          <w:sz w:val="22"/>
          <w:szCs w:val="22"/>
          <w:vertAlign w:val="subscript"/>
        </w:rPr>
        <w:t>2</w:t>
      </w:r>
      <w:r w:rsidRPr="008D58A8">
        <w:rPr>
          <w:sz w:val="22"/>
          <w:szCs w:val="22"/>
        </w:rPr>
        <w:t>Br</w:t>
      </w:r>
      <w:r w:rsidRPr="008D58A8">
        <w:rPr>
          <w:sz w:val="22"/>
          <w:szCs w:val="22"/>
          <w:vertAlign w:val="subscript"/>
        </w:rPr>
        <w:t>2</w:t>
      </w:r>
      <w:r w:rsidR="0011494B">
        <w:rPr>
          <w:sz w:val="22"/>
          <w:szCs w:val="22"/>
        </w:rPr>
        <w:t>, and possibly inorganic product gases have</w:t>
      </w:r>
      <w:r w:rsidRPr="008D58A8">
        <w:rPr>
          <w:sz w:val="22"/>
          <w:szCs w:val="22"/>
        </w:rPr>
        <w:t xml:space="preserve"> been identified as the main </w:t>
      </w:r>
      <w:r w:rsidR="006462AE">
        <w:rPr>
          <w:sz w:val="22"/>
          <w:szCs w:val="22"/>
        </w:rPr>
        <w:t xml:space="preserve">bromine </w:t>
      </w:r>
      <w:r w:rsidR="0011494B">
        <w:rPr>
          <w:sz w:val="22"/>
          <w:szCs w:val="22"/>
        </w:rPr>
        <w:t>gases</w:t>
      </w:r>
      <w:r w:rsidR="006462AE">
        <w:rPr>
          <w:sz w:val="22"/>
          <w:szCs w:val="22"/>
        </w:rPr>
        <w:t xml:space="preserve"> delivered to</w:t>
      </w:r>
      <w:r w:rsidR="0011494B">
        <w:rPr>
          <w:sz w:val="22"/>
          <w:szCs w:val="22"/>
        </w:rPr>
        <w:t xml:space="preserve"> the stratosphere</w:t>
      </w:r>
      <w:r w:rsidRPr="008D58A8">
        <w:rPr>
          <w:sz w:val="22"/>
          <w:szCs w:val="22"/>
        </w:rPr>
        <w:t xml:space="preserve">. However, </w:t>
      </w:r>
      <w:r w:rsidR="006462AE">
        <w:rPr>
          <w:sz w:val="22"/>
          <w:szCs w:val="22"/>
        </w:rPr>
        <w:t>many important</w:t>
      </w:r>
      <w:r w:rsidR="00295D05">
        <w:rPr>
          <w:sz w:val="22"/>
          <w:szCs w:val="22"/>
        </w:rPr>
        <w:t xml:space="preserve"> </w:t>
      </w:r>
      <w:r w:rsidR="00701BFA">
        <w:rPr>
          <w:sz w:val="22"/>
          <w:szCs w:val="22"/>
        </w:rPr>
        <w:t xml:space="preserve">details </w:t>
      </w:r>
      <w:r w:rsidR="00877255">
        <w:rPr>
          <w:sz w:val="22"/>
          <w:szCs w:val="22"/>
        </w:rPr>
        <w:t>of the transport and delivery of</w:t>
      </w:r>
      <w:r w:rsidR="00573B2C">
        <w:rPr>
          <w:sz w:val="22"/>
          <w:szCs w:val="22"/>
        </w:rPr>
        <w:t xml:space="preserve"> </w:t>
      </w:r>
      <w:r w:rsidR="005C0B77">
        <w:rPr>
          <w:sz w:val="22"/>
          <w:szCs w:val="22"/>
        </w:rPr>
        <w:t xml:space="preserve">VSLS </w:t>
      </w:r>
      <w:r w:rsidR="00701BFA">
        <w:rPr>
          <w:sz w:val="22"/>
          <w:szCs w:val="22"/>
        </w:rPr>
        <w:t xml:space="preserve">and </w:t>
      </w:r>
      <w:r w:rsidRPr="008D58A8">
        <w:rPr>
          <w:sz w:val="22"/>
          <w:szCs w:val="22"/>
        </w:rPr>
        <w:t xml:space="preserve">inorganic </w:t>
      </w:r>
      <w:r w:rsidR="000C3F3F">
        <w:rPr>
          <w:sz w:val="22"/>
          <w:szCs w:val="22"/>
        </w:rPr>
        <w:t xml:space="preserve">bromine </w:t>
      </w:r>
      <w:r w:rsidRPr="008D58A8">
        <w:rPr>
          <w:sz w:val="22"/>
          <w:szCs w:val="22"/>
        </w:rPr>
        <w:t xml:space="preserve">compounds </w:t>
      </w:r>
      <w:r w:rsidR="00877255">
        <w:rPr>
          <w:sz w:val="22"/>
          <w:szCs w:val="22"/>
        </w:rPr>
        <w:t xml:space="preserve">through </w:t>
      </w:r>
      <w:r w:rsidR="00295D05">
        <w:rPr>
          <w:sz w:val="22"/>
          <w:szCs w:val="22"/>
        </w:rPr>
        <w:t xml:space="preserve">the </w:t>
      </w:r>
      <w:r w:rsidR="00EE251A">
        <w:rPr>
          <w:sz w:val="22"/>
          <w:szCs w:val="22"/>
        </w:rPr>
        <w:t>TTL</w:t>
      </w:r>
      <w:r w:rsidR="00295D05">
        <w:rPr>
          <w:sz w:val="22"/>
          <w:szCs w:val="22"/>
        </w:rPr>
        <w:t xml:space="preserve"> are </w:t>
      </w:r>
      <w:r w:rsidR="00877255">
        <w:rPr>
          <w:sz w:val="22"/>
          <w:szCs w:val="22"/>
        </w:rPr>
        <w:t>still uncertain</w:t>
      </w:r>
      <w:r w:rsidRPr="008D58A8">
        <w:rPr>
          <w:sz w:val="22"/>
          <w:szCs w:val="22"/>
        </w:rPr>
        <w:t xml:space="preserve">. </w:t>
      </w:r>
      <w:r w:rsidR="005C0B77">
        <w:rPr>
          <w:sz w:val="22"/>
          <w:szCs w:val="22"/>
        </w:rPr>
        <w:t>Moreover</w:t>
      </w:r>
      <w:r w:rsidR="006462AE">
        <w:rPr>
          <w:sz w:val="22"/>
          <w:szCs w:val="22"/>
        </w:rPr>
        <w:t>,</w:t>
      </w:r>
      <w:r w:rsidR="00295D05">
        <w:rPr>
          <w:sz w:val="22"/>
          <w:szCs w:val="22"/>
        </w:rPr>
        <w:t xml:space="preserve"> a</w:t>
      </w:r>
      <w:r w:rsidRPr="008D58A8">
        <w:rPr>
          <w:sz w:val="22"/>
          <w:szCs w:val="22"/>
        </w:rPr>
        <w:t xml:space="preserve"> number of chemical processes, including </w:t>
      </w:r>
      <w:r w:rsidR="00295D05">
        <w:rPr>
          <w:sz w:val="22"/>
          <w:szCs w:val="22"/>
        </w:rPr>
        <w:t xml:space="preserve">the transformation </w:t>
      </w:r>
      <w:r w:rsidR="00573B2C">
        <w:rPr>
          <w:sz w:val="22"/>
          <w:szCs w:val="22"/>
        </w:rPr>
        <w:t xml:space="preserve">of the source gases </w:t>
      </w:r>
      <w:r w:rsidRPr="008D58A8">
        <w:rPr>
          <w:sz w:val="22"/>
          <w:szCs w:val="22"/>
        </w:rPr>
        <w:t>and cycling o</w:t>
      </w:r>
      <w:r w:rsidR="00DF28A0">
        <w:rPr>
          <w:sz w:val="22"/>
          <w:szCs w:val="22"/>
        </w:rPr>
        <w:t xml:space="preserve">f inorganic bromine species </w:t>
      </w:r>
      <w:r w:rsidR="005C0B77">
        <w:rPr>
          <w:sz w:val="22"/>
          <w:szCs w:val="22"/>
        </w:rPr>
        <w:t xml:space="preserve">at low ambient temperature and </w:t>
      </w:r>
      <w:r w:rsidR="000C3F3F">
        <w:rPr>
          <w:sz w:val="22"/>
          <w:szCs w:val="22"/>
        </w:rPr>
        <w:t xml:space="preserve">on </w:t>
      </w:r>
      <w:r w:rsidR="000C3F3F" w:rsidRPr="008D58A8">
        <w:rPr>
          <w:sz w:val="22"/>
          <w:szCs w:val="22"/>
        </w:rPr>
        <w:t>ice p</w:t>
      </w:r>
      <w:r w:rsidR="000C3F3F">
        <w:rPr>
          <w:sz w:val="22"/>
          <w:szCs w:val="22"/>
        </w:rPr>
        <w:t>articles</w:t>
      </w:r>
      <w:r w:rsidR="005C0B77">
        <w:rPr>
          <w:sz w:val="22"/>
          <w:szCs w:val="22"/>
        </w:rPr>
        <w:t xml:space="preserve"> </w:t>
      </w:r>
      <w:r w:rsidR="00DF28A0">
        <w:rPr>
          <w:sz w:val="22"/>
          <w:szCs w:val="22"/>
        </w:rPr>
        <w:t xml:space="preserve">are </w:t>
      </w:r>
      <w:r w:rsidRPr="008D58A8">
        <w:rPr>
          <w:sz w:val="22"/>
          <w:szCs w:val="22"/>
        </w:rPr>
        <w:t xml:space="preserve">also poorly understood. </w:t>
      </w:r>
    </w:p>
    <w:p w14:paraId="0E521FB5" w14:textId="77777777" w:rsidR="008D58A8" w:rsidRPr="008D58A8" w:rsidRDefault="008D58A8" w:rsidP="008D58A8">
      <w:pPr>
        <w:jc w:val="both"/>
        <w:rPr>
          <w:sz w:val="22"/>
          <w:szCs w:val="22"/>
        </w:rPr>
      </w:pPr>
    </w:p>
    <w:p w14:paraId="7F970D4F" w14:textId="4280F742" w:rsidR="00FD5F28" w:rsidRDefault="00295D05" w:rsidP="008D58A8">
      <w:pPr>
        <w:jc w:val="both"/>
        <w:rPr>
          <w:sz w:val="22"/>
          <w:szCs w:val="22"/>
        </w:rPr>
      </w:pPr>
      <w:r>
        <w:rPr>
          <w:sz w:val="22"/>
          <w:szCs w:val="22"/>
        </w:rPr>
        <w:t>The present</w:t>
      </w:r>
      <w:r w:rsidR="0087273B">
        <w:rPr>
          <w:sz w:val="22"/>
          <w:szCs w:val="22"/>
        </w:rPr>
        <w:t>ation</w:t>
      </w:r>
      <w:r>
        <w:rPr>
          <w:sz w:val="22"/>
          <w:szCs w:val="22"/>
        </w:rPr>
        <w:t xml:space="preserve"> </w:t>
      </w:r>
      <w:r w:rsidR="004337FB">
        <w:rPr>
          <w:sz w:val="22"/>
          <w:szCs w:val="22"/>
        </w:rPr>
        <w:t>reports measurements of CH</w:t>
      </w:r>
      <w:r w:rsidR="004337FB" w:rsidRPr="004337FB">
        <w:rPr>
          <w:sz w:val="22"/>
          <w:szCs w:val="22"/>
          <w:vertAlign w:val="subscript"/>
        </w:rPr>
        <w:t>4</w:t>
      </w:r>
      <w:r w:rsidR="004337FB">
        <w:rPr>
          <w:sz w:val="22"/>
          <w:szCs w:val="22"/>
        </w:rPr>
        <w:t>,</w:t>
      </w:r>
      <w:r w:rsidR="008D58A8" w:rsidRPr="008D58A8">
        <w:rPr>
          <w:sz w:val="22"/>
          <w:szCs w:val="22"/>
        </w:rPr>
        <w:t xml:space="preserve"> </w:t>
      </w:r>
      <w:r w:rsidR="004337FB">
        <w:rPr>
          <w:sz w:val="22"/>
          <w:szCs w:val="22"/>
        </w:rPr>
        <w:t>O</w:t>
      </w:r>
      <w:r w:rsidR="004337FB" w:rsidRPr="004337FB">
        <w:rPr>
          <w:sz w:val="22"/>
          <w:szCs w:val="22"/>
          <w:vertAlign w:val="subscript"/>
        </w:rPr>
        <w:t>3</w:t>
      </w:r>
      <w:r w:rsidR="004337FB">
        <w:rPr>
          <w:sz w:val="22"/>
          <w:szCs w:val="22"/>
        </w:rPr>
        <w:t xml:space="preserve">, </w:t>
      </w:r>
      <w:r w:rsidR="00DF28A0" w:rsidRPr="008D58A8">
        <w:rPr>
          <w:sz w:val="22"/>
          <w:szCs w:val="22"/>
        </w:rPr>
        <w:t>NO</w:t>
      </w:r>
      <w:r w:rsidR="00DF28A0" w:rsidRPr="008D58A8">
        <w:rPr>
          <w:sz w:val="22"/>
          <w:szCs w:val="22"/>
          <w:vertAlign w:val="subscript"/>
        </w:rPr>
        <w:t>2</w:t>
      </w:r>
      <w:r w:rsidR="00DF28A0" w:rsidRPr="008D58A8">
        <w:rPr>
          <w:sz w:val="22"/>
          <w:szCs w:val="22"/>
        </w:rPr>
        <w:t>,</w:t>
      </w:r>
      <w:r w:rsidR="00DF28A0">
        <w:rPr>
          <w:sz w:val="22"/>
          <w:szCs w:val="22"/>
        </w:rPr>
        <w:t xml:space="preserve"> and </w:t>
      </w:r>
      <w:proofErr w:type="spellStart"/>
      <w:r w:rsidR="00DF28A0">
        <w:rPr>
          <w:sz w:val="22"/>
          <w:szCs w:val="22"/>
        </w:rPr>
        <w:t>BrO</w:t>
      </w:r>
      <w:proofErr w:type="spellEnd"/>
      <w:r w:rsidR="008D58A8" w:rsidRPr="008D58A8">
        <w:rPr>
          <w:sz w:val="22"/>
          <w:szCs w:val="22"/>
        </w:rPr>
        <w:t xml:space="preserve"> </w:t>
      </w:r>
      <w:r w:rsidR="00AF4092">
        <w:rPr>
          <w:sz w:val="22"/>
          <w:szCs w:val="22"/>
        </w:rPr>
        <w:t xml:space="preserve">performed </w:t>
      </w:r>
      <w:r w:rsidR="00FA0132">
        <w:rPr>
          <w:sz w:val="22"/>
          <w:szCs w:val="22"/>
        </w:rPr>
        <w:t xml:space="preserve">by different instruments and techniques </w:t>
      </w:r>
      <w:r w:rsidR="00AF4092">
        <w:rPr>
          <w:sz w:val="22"/>
          <w:szCs w:val="22"/>
        </w:rPr>
        <w:t xml:space="preserve">during the 2013 NASA-ATTREX </w:t>
      </w:r>
      <w:r w:rsidR="00FA0132">
        <w:rPr>
          <w:sz w:val="22"/>
          <w:szCs w:val="22"/>
        </w:rPr>
        <w:t xml:space="preserve">flights </w:t>
      </w:r>
      <w:r w:rsidR="00AF4092">
        <w:rPr>
          <w:sz w:val="22"/>
          <w:szCs w:val="22"/>
        </w:rPr>
        <w:t>in the TTL and LS. The interpretation of our measurements is supported by chemical transport model (SLIMCAT) simulations</w:t>
      </w:r>
      <w:r w:rsidR="00FA0132">
        <w:rPr>
          <w:sz w:val="22"/>
          <w:szCs w:val="22"/>
        </w:rPr>
        <w:t>. SLIMCAT results</w:t>
      </w:r>
      <w:r w:rsidR="00877255">
        <w:rPr>
          <w:sz w:val="22"/>
          <w:szCs w:val="22"/>
        </w:rPr>
        <w:t>,</w:t>
      </w:r>
      <w:r w:rsidR="00FD5F28">
        <w:rPr>
          <w:sz w:val="22"/>
          <w:szCs w:val="22"/>
        </w:rPr>
        <w:t xml:space="preserve"> </w:t>
      </w:r>
      <w:r w:rsidR="00785442">
        <w:rPr>
          <w:sz w:val="22"/>
          <w:szCs w:val="22"/>
        </w:rPr>
        <w:t>in conjunction with extensive radiative transfer calculat</w:t>
      </w:r>
      <w:r w:rsidR="00F36FC1">
        <w:rPr>
          <w:sz w:val="22"/>
          <w:szCs w:val="22"/>
        </w:rPr>
        <w:t>i</w:t>
      </w:r>
      <w:r w:rsidR="00785442">
        <w:rPr>
          <w:sz w:val="22"/>
          <w:szCs w:val="22"/>
        </w:rPr>
        <w:t xml:space="preserve">ons </w:t>
      </w:r>
      <w:r w:rsidR="007A6D4D">
        <w:rPr>
          <w:sz w:val="22"/>
          <w:szCs w:val="22"/>
        </w:rPr>
        <w:t xml:space="preserve">using the Monte Carlo model </w:t>
      </w:r>
      <w:proofErr w:type="spellStart"/>
      <w:r w:rsidR="007A6D4D">
        <w:rPr>
          <w:sz w:val="22"/>
          <w:szCs w:val="22"/>
        </w:rPr>
        <w:t>McArtim</w:t>
      </w:r>
      <w:proofErr w:type="spellEnd"/>
      <w:r w:rsidR="00877255">
        <w:rPr>
          <w:sz w:val="22"/>
          <w:szCs w:val="22"/>
        </w:rPr>
        <w:t>,</w:t>
      </w:r>
      <w:r w:rsidR="007A6D4D">
        <w:rPr>
          <w:sz w:val="22"/>
          <w:szCs w:val="22"/>
        </w:rPr>
        <w:t xml:space="preserve"> </w:t>
      </w:r>
      <w:r w:rsidR="00785442">
        <w:rPr>
          <w:sz w:val="22"/>
          <w:szCs w:val="22"/>
        </w:rPr>
        <w:t xml:space="preserve">also </w:t>
      </w:r>
      <w:r w:rsidR="00721F6A">
        <w:rPr>
          <w:sz w:val="22"/>
          <w:szCs w:val="22"/>
        </w:rPr>
        <w:t>are used to improve</w:t>
      </w:r>
      <w:r w:rsidR="00FD5F28">
        <w:rPr>
          <w:sz w:val="22"/>
          <w:szCs w:val="22"/>
        </w:rPr>
        <w:t xml:space="preserve"> retrieval of O</w:t>
      </w:r>
      <w:r w:rsidR="00FD5F28" w:rsidRPr="004337FB">
        <w:rPr>
          <w:sz w:val="22"/>
          <w:szCs w:val="22"/>
          <w:vertAlign w:val="subscript"/>
        </w:rPr>
        <w:t>3</w:t>
      </w:r>
      <w:r w:rsidR="00FD5F28">
        <w:rPr>
          <w:sz w:val="22"/>
          <w:szCs w:val="22"/>
        </w:rPr>
        <w:t xml:space="preserve">, </w:t>
      </w:r>
      <w:r w:rsidR="00FD5F28" w:rsidRPr="008D58A8">
        <w:rPr>
          <w:sz w:val="22"/>
          <w:szCs w:val="22"/>
        </w:rPr>
        <w:t>NO</w:t>
      </w:r>
      <w:r w:rsidR="00FD5F28" w:rsidRPr="008D58A8">
        <w:rPr>
          <w:sz w:val="22"/>
          <w:szCs w:val="22"/>
          <w:vertAlign w:val="subscript"/>
        </w:rPr>
        <w:t>2</w:t>
      </w:r>
      <w:r w:rsidR="00FD5F28" w:rsidRPr="008D58A8">
        <w:rPr>
          <w:sz w:val="22"/>
          <w:szCs w:val="22"/>
        </w:rPr>
        <w:t>,</w:t>
      </w:r>
      <w:r w:rsidR="00FD5F28">
        <w:rPr>
          <w:sz w:val="22"/>
          <w:szCs w:val="22"/>
        </w:rPr>
        <w:t xml:space="preserve"> and </w:t>
      </w:r>
      <w:proofErr w:type="spellStart"/>
      <w:r w:rsidR="00FD5F28">
        <w:rPr>
          <w:sz w:val="22"/>
          <w:szCs w:val="22"/>
        </w:rPr>
        <w:t>BrO</w:t>
      </w:r>
      <w:proofErr w:type="spellEnd"/>
      <w:r w:rsidR="00FD5F28">
        <w:rPr>
          <w:sz w:val="22"/>
          <w:szCs w:val="22"/>
        </w:rPr>
        <w:t xml:space="preserve"> </w:t>
      </w:r>
      <w:r w:rsidR="00721F6A">
        <w:rPr>
          <w:sz w:val="22"/>
          <w:szCs w:val="22"/>
        </w:rPr>
        <w:t xml:space="preserve">concentrations </w:t>
      </w:r>
      <w:r w:rsidR="00FD5F28">
        <w:rPr>
          <w:sz w:val="22"/>
          <w:szCs w:val="22"/>
        </w:rPr>
        <w:t xml:space="preserve">from limb scattered </w:t>
      </w:r>
      <w:r w:rsidR="008F243A">
        <w:rPr>
          <w:sz w:val="22"/>
          <w:szCs w:val="22"/>
        </w:rPr>
        <w:t xml:space="preserve">sunlight </w:t>
      </w:r>
      <w:r w:rsidR="00FD5F28">
        <w:rPr>
          <w:sz w:val="22"/>
          <w:szCs w:val="22"/>
        </w:rPr>
        <w:t xml:space="preserve">measurements </w:t>
      </w:r>
      <w:r w:rsidR="00721F6A">
        <w:rPr>
          <w:sz w:val="22"/>
          <w:szCs w:val="22"/>
        </w:rPr>
        <w:t>made with the</w:t>
      </w:r>
      <w:r w:rsidR="00FD5F28">
        <w:rPr>
          <w:sz w:val="22"/>
          <w:szCs w:val="22"/>
        </w:rPr>
        <w:t xml:space="preserve"> </w:t>
      </w:r>
      <w:r w:rsidR="008D58A8" w:rsidRPr="008D58A8">
        <w:rPr>
          <w:sz w:val="22"/>
          <w:szCs w:val="22"/>
        </w:rPr>
        <w:t>Differential Optical Absorption Spectroscopy</w:t>
      </w:r>
      <w:r w:rsidR="00FD5F28">
        <w:rPr>
          <w:sz w:val="22"/>
          <w:szCs w:val="22"/>
        </w:rPr>
        <w:t xml:space="preserve"> (DOAS) technique</w:t>
      </w:r>
      <w:r w:rsidR="00721F6A">
        <w:rPr>
          <w:sz w:val="22"/>
          <w:szCs w:val="22"/>
        </w:rPr>
        <w:t xml:space="preserve"> during ATTREX</w:t>
      </w:r>
      <w:r w:rsidR="00FA0132">
        <w:rPr>
          <w:sz w:val="22"/>
          <w:szCs w:val="22"/>
        </w:rPr>
        <w:t>. The model</w:t>
      </w:r>
      <w:r w:rsidR="00FD5F28">
        <w:rPr>
          <w:sz w:val="22"/>
          <w:szCs w:val="22"/>
        </w:rPr>
        <w:t xml:space="preserve"> also allows us to </w:t>
      </w:r>
      <w:r w:rsidR="00FA0132">
        <w:rPr>
          <w:sz w:val="22"/>
          <w:szCs w:val="22"/>
        </w:rPr>
        <w:t xml:space="preserve">attribute </w:t>
      </w:r>
      <w:r w:rsidR="00294C94">
        <w:rPr>
          <w:sz w:val="22"/>
          <w:szCs w:val="22"/>
        </w:rPr>
        <w:t xml:space="preserve">observed </w:t>
      </w:r>
      <w:r w:rsidR="00722F2B">
        <w:rPr>
          <w:sz w:val="22"/>
          <w:szCs w:val="22"/>
        </w:rPr>
        <w:t xml:space="preserve">concentration </w:t>
      </w:r>
      <w:r w:rsidR="00FA0132">
        <w:rPr>
          <w:sz w:val="22"/>
          <w:szCs w:val="22"/>
        </w:rPr>
        <w:t xml:space="preserve">variations </w:t>
      </w:r>
      <w:r w:rsidR="00722F2B">
        <w:rPr>
          <w:sz w:val="22"/>
          <w:szCs w:val="22"/>
        </w:rPr>
        <w:t xml:space="preserve">to </w:t>
      </w:r>
      <w:r w:rsidR="00FD5F28">
        <w:rPr>
          <w:sz w:val="22"/>
          <w:szCs w:val="22"/>
        </w:rPr>
        <w:t>transport</w:t>
      </w:r>
      <w:r w:rsidR="00722F2B">
        <w:rPr>
          <w:sz w:val="22"/>
          <w:szCs w:val="22"/>
        </w:rPr>
        <w:t xml:space="preserve"> and </w:t>
      </w:r>
      <w:r w:rsidR="00721F6A">
        <w:rPr>
          <w:sz w:val="22"/>
          <w:szCs w:val="22"/>
        </w:rPr>
        <w:t xml:space="preserve">to </w:t>
      </w:r>
      <w:r w:rsidR="00FD5F28">
        <w:rPr>
          <w:sz w:val="22"/>
          <w:szCs w:val="22"/>
        </w:rPr>
        <w:t>photochemical processes.</w:t>
      </w:r>
      <w:r w:rsidR="00722F2B">
        <w:rPr>
          <w:sz w:val="22"/>
          <w:szCs w:val="22"/>
        </w:rPr>
        <w:t xml:space="preserve"> </w:t>
      </w:r>
      <w:r w:rsidR="00FA0132">
        <w:rPr>
          <w:sz w:val="22"/>
          <w:szCs w:val="22"/>
        </w:rPr>
        <w:t>W</w:t>
      </w:r>
      <w:r w:rsidR="00722F2B">
        <w:rPr>
          <w:sz w:val="22"/>
          <w:szCs w:val="22"/>
        </w:rPr>
        <w:t xml:space="preserve">hen properly accounting for the transport-related concentration </w:t>
      </w:r>
      <w:r w:rsidR="00FA0132">
        <w:rPr>
          <w:sz w:val="22"/>
          <w:szCs w:val="22"/>
        </w:rPr>
        <w:t>variations</w:t>
      </w:r>
      <w:r w:rsidR="00721F6A">
        <w:rPr>
          <w:sz w:val="22"/>
          <w:szCs w:val="22"/>
        </w:rPr>
        <w:t xml:space="preserve"> in methane and ozone</w:t>
      </w:r>
      <w:r w:rsidR="00722F2B">
        <w:rPr>
          <w:sz w:val="22"/>
          <w:szCs w:val="22"/>
        </w:rPr>
        <w:t xml:space="preserve">, </w:t>
      </w:r>
      <w:r w:rsidR="00721F6A">
        <w:rPr>
          <w:sz w:val="22"/>
          <w:szCs w:val="22"/>
        </w:rPr>
        <w:t xml:space="preserve">we find that </w:t>
      </w:r>
      <w:r w:rsidR="00722F2B">
        <w:rPr>
          <w:sz w:val="22"/>
          <w:szCs w:val="22"/>
        </w:rPr>
        <w:t xml:space="preserve">measured </w:t>
      </w:r>
      <w:proofErr w:type="spellStart"/>
      <w:r w:rsidR="00722F2B">
        <w:rPr>
          <w:sz w:val="22"/>
          <w:szCs w:val="22"/>
        </w:rPr>
        <w:t>BrO</w:t>
      </w:r>
      <w:proofErr w:type="spellEnd"/>
      <w:r w:rsidR="00722F2B">
        <w:rPr>
          <w:sz w:val="22"/>
          <w:szCs w:val="22"/>
        </w:rPr>
        <w:t xml:space="preserve"> </w:t>
      </w:r>
      <w:r w:rsidR="00721F6A">
        <w:rPr>
          <w:sz w:val="22"/>
          <w:szCs w:val="22"/>
        </w:rPr>
        <w:t>is</w:t>
      </w:r>
      <w:r w:rsidR="00C81E35">
        <w:rPr>
          <w:sz w:val="22"/>
          <w:szCs w:val="22"/>
        </w:rPr>
        <w:t xml:space="preserve"> mostly larger than </w:t>
      </w:r>
      <w:r w:rsidR="008F243A">
        <w:rPr>
          <w:sz w:val="22"/>
          <w:szCs w:val="22"/>
        </w:rPr>
        <w:t xml:space="preserve">model simulations </w:t>
      </w:r>
      <w:r w:rsidR="0087273B">
        <w:rPr>
          <w:sz w:val="22"/>
          <w:szCs w:val="22"/>
        </w:rPr>
        <w:t>which use</w:t>
      </w:r>
      <w:r w:rsidR="00721F6A">
        <w:rPr>
          <w:sz w:val="22"/>
          <w:szCs w:val="22"/>
        </w:rPr>
        <w:t xml:space="preserve"> </w:t>
      </w:r>
      <w:r w:rsidR="0087273B">
        <w:rPr>
          <w:sz w:val="22"/>
          <w:szCs w:val="22"/>
        </w:rPr>
        <w:t xml:space="preserve">recommended </w:t>
      </w:r>
      <w:r w:rsidR="00C81E35">
        <w:rPr>
          <w:sz w:val="22"/>
          <w:szCs w:val="22"/>
        </w:rPr>
        <w:t>JPL-kinetic</w:t>
      </w:r>
      <w:r w:rsidR="00722F2B">
        <w:rPr>
          <w:sz w:val="22"/>
          <w:szCs w:val="22"/>
        </w:rPr>
        <w:t xml:space="preserve"> data. When </w:t>
      </w:r>
      <w:r w:rsidR="00022B9A">
        <w:rPr>
          <w:sz w:val="22"/>
          <w:szCs w:val="22"/>
        </w:rPr>
        <w:t xml:space="preserve">the errors and uncertainties in the involved </w:t>
      </w:r>
      <w:r w:rsidR="00440AF4">
        <w:rPr>
          <w:sz w:val="22"/>
          <w:szCs w:val="22"/>
        </w:rPr>
        <w:t>photochemical reaction rates</w:t>
      </w:r>
      <w:r w:rsidR="00623B7D">
        <w:rPr>
          <w:sz w:val="22"/>
          <w:szCs w:val="22"/>
        </w:rPr>
        <w:t xml:space="preserve">, which are </w:t>
      </w:r>
      <w:r w:rsidR="00087FE9">
        <w:rPr>
          <w:sz w:val="22"/>
          <w:szCs w:val="22"/>
        </w:rPr>
        <w:t xml:space="preserve">mostly available for higher temperature </w:t>
      </w:r>
      <w:r w:rsidR="00623B7D">
        <w:rPr>
          <w:sz w:val="22"/>
          <w:szCs w:val="22"/>
        </w:rPr>
        <w:t>than those (&gt; 188K) encountered during the NASA ATTREX mission</w:t>
      </w:r>
      <w:r w:rsidR="00327666">
        <w:rPr>
          <w:sz w:val="22"/>
          <w:szCs w:val="22"/>
        </w:rPr>
        <w:t>,</w:t>
      </w:r>
      <w:r w:rsidR="00623B7D">
        <w:rPr>
          <w:sz w:val="22"/>
          <w:szCs w:val="22"/>
        </w:rPr>
        <w:t xml:space="preserve"> </w:t>
      </w:r>
      <w:r w:rsidR="00022B9A">
        <w:rPr>
          <w:sz w:val="22"/>
          <w:szCs w:val="22"/>
        </w:rPr>
        <w:t>are accordingly considered in the calculation of the bromine partitioning</w:t>
      </w:r>
      <w:r w:rsidR="00C81E35">
        <w:rPr>
          <w:sz w:val="22"/>
          <w:szCs w:val="22"/>
        </w:rPr>
        <w:t xml:space="preserve">, </w:t>
      </w:r>
      <w:r w:rsidR="00327666">
        <w:rPr>
          <w:sz w:val="22"/>
          <w:szCs w:val="22"/>
        </w:rPr>
        <w:t xml:space="preserve">the </w:t>
      </w:r>
      <w:r w:rsidR="00C81E35">
        <w:rPr>
          <w:sz w:val="22"/>
          <w:szCs w:val="22"/>
        </w:rPr>
        <w:t xml:space="preserve">total bromine </w:t>
      </w:r>
      <w:r w:rsidR="00722F2B">
        <w:rPr>
          <w:sz w:val="22"/>
          <w:szCs w:val="22"/>
        </w:rPr>
        <w:t xml:space="preserve">in the TTL can be </w:t>
      </w:r>
      <w:r w:rsidR="008F243A">
        <w:rPr>
          <w:sz w:val="22"/>
          <w:szCs w:val="22"/>
        </w:rPr>
        <w:t xml:space="preserve">quantified </w:t>
      </w:r>
      <w:r w:rsidR="00722F2B">
        <w:rPr>
          <w:sz w:val="22"/>
          <w:szCs w:val="22"/>
        </w:rPr>
        <w:t>to 21±</w:t>
      </w:r>
      <w:r w:rsidR="00294C94">
        <w:rPr>
          <w:sz w:val="22"/>
          <w:szCs w:val="22"/>
        </w:rPr>
        <w:t xml:space="preserve">1 </w:t>
      </w:r>
      <w:proofErr w:type="spellStart"/>
      <w:r w:rsidR="00294C94">
        <w:rPr>
          <w:sz w:val="22"/>
          <w:szCs w:val="22"/>
        </w:rPr>
        <w:t>ppt</w:t>
      </w:r>
      <w:proofErr w:type="spellEnd"/>
      <w:r w:rsidR="00294C94">
        <w:rPr>
          <w:sz w:val="22"/>
          <w:szCs w:val="22"/>
        </w:rPr>
        <w:t xml:space="preserve"> in 2013.</w:t>
      </w:r>
      <w:r w:rsidR="00722F2B">
        <w:rPr>
          <w:sz w:val="22"/>
          <w:szCs w:val="22"/>
        </w:rPr>
        <w:t xml:space="preserve"> </w:t>
      </w:r>
    </w:p>
    <w:p w14:paraId="60E6967E" w14:textId="77777777" w:rsidR="00FD5F28" w:rsidRDefault="00FD5F28" w:rsidP="008D58A8">
      <w:pPr>
        <w:jc w:val="both"/>
        <w:rPr>
          <w:sz w:val="22"/>
          <w:szCs w:val="22"/>
        </w:rPr>
      </w:pPr>
    </w:p>
    <w:p w14:paraId="0928574A" w14:textId="565CB1D1" w:rsidR="001E0151" w:rsidRPr="001F1CD4" w:rsidRDefault="001E0151" w:rsidP="001E0151">
      <w:pPr>
        <w:spacing w:before="120"/>
        <w:rPr>
          <w:sz w:val="22"/>
          <w:szCs w:val="22"/>
        </w:rPr>
      </w:pPr>
    </w:p>
    <w:p w14:paraId="6BA95A7E" w14:textId="77777777" w:rsidR="00FE5D61" w:rsidRDefault="00FE5D61" w:rsidP="00F819B3"/>
    <w:sectPr w:rsidR="00FE5D61" w:rsidSect="0049097D">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6C14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NimbusRomNo9L-Medi">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ot Atlas">
    <w15:presenceInfo w15:providerId="Windows Live" w15:userId="724cd6352ac0fc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0D"/>
    <w:rsid w:val="000004F1"/>
    <w:rsid w:val="00022B9A"/>
    <w:rsid w:val="00077A2E"/>
    <w:rsid w:val="00087FE9"/>
    <w:rsid w:val="000B42E0"/>
    <w:rsid w:val="000C3F3F"/>
    <w:rsid w:val="0011494B"/>
    <w:rsid w:val="001A77D7"/>
    <w:rsid w:val="001E0151"/>
    <w:rsid w:val="001F1CD4"/>
    <w:rsid w:val="002938B7"/>
    <w:rsid w:val="00294C94"/>
    <w:rsid w:val="00295D05"/>
    <w:rsid w:val="00327666"/>
    <w:rsid w:val="00334B37"/>
    <w:rsid w:val="00353CC9"/>
    <w:rsid w:val="00356BA8"/>
    <w:rsid w:val="00372C8D"/>
    <w:rsid w:val="003D09DD"/>
    <w:rsid w:val="004337FB"/>
    <w:rsid w:val="00440AF4"/>
    <w:rsid w:val="0046632D"/>
    <w:rsid w:val="0049097D"/>
    <w:rsid w:val="00494798"/>
    <w:rsid w:val="00494E95"/>
    <w:rsid w:val="004C2866"/>
    <w:rsid w:val="005263CA"/>
    <w:rsid w:val="00573B2C"/>
    <w:rsid w:val="005C0B77"/>
    <w:rsid w:val="005D08CE"/>
    <w:rsid w:val="005D70D9"/>
    <w:rsid w:val="005E138C"/>
    <w:rsid w:val="00603341"/>
    <w:rsid w:val="00612430"/>
    <w:rsid w:val="00620FCF"/>
    <w:rsid w:val="00623B7D"/>
    <w:rsid w:val="006462AE"/>
    <w:rsid w:val="0064778B"/>
    <w:rsid w:val="006A467B"/>
    <w:rsid w:val="00701BFA"/>
    <w:rsid w:val="00721F6A"/>
    <w:rsid w:val="00722F2B"/>
    <w:rsid w:val="00785442"/>
    <w:rsid w:val="00790BC0"/>
    <w:rsid w:val="007A6D4D"/>
    <w:rsid w:val="007B25D2"/>
    <w:rsid w:val="007C08F0"/>
    <w:rsid w:val="00800498"/>
    <w:rsid w:val="008721AC"/>
    <w:rsid w:val="0087273B"/>
    <w:rsid w:val="00877255"/>
    <w:rsid w:val="00885EBA"/>
    <w:rsid w:val="008A60BE"/>
    <w:rsid w:val="008D58A8"/>
    <w:rsid w:val="008E0DC3"/>
    <w:rsid w:val="008E43BF"/>
    <w:rsid w:val="008F243A"/>
    <w:rsid w:val="00964C0D"/>
    <w:rsid w:val="009B614E"/>
    <w:rsid w:val="009D5867"/>
    <w:rsid w:val="00A372DF"/>
    <w:rsid w:val="00A51406"/>
    <w:rsid w:val="00A95905"/>
    <w:rsid w:val="00AA6C87"/>
    <w:rsid w:val="00AF4092"/>
    <w:rsid w:val="00B50730"/>
    <w:rsid w:val="00BA76C8"/>
    <w:rsid w:val="00BB7FB0"/>
    <w:rsid w:val="00BD79CD"/>
    <w:rsid w:val="00BD7BD3"/>
    <w:rsid w:val="00C4142C"/>
    <w:rsid w:val="00C56AE6"/>
    <w:rsid w:val="00C722DA"/>
    <w:rsid w:val="00C81E35"/>
    <w:rsid w:val="00CD2BF9"/>
    <w:rsid w:val="00DF28A0"/>
    <w:rsid w:val="00E05990"/>
    <w:rsid w:val="00E47A76"/>
    <w:rsid w:val="00E57F5D"/>
    <w:rsid w:val="00EE251A"/>
    <w:rsid w:val="00EE50F9"/>
    <w:rsid w:val="00F36FC1"/>
    <w:rsid w:val="00F819B3"/>
    <w:rsid w:val="00FA0132"/>
    <w:rsid w:val="00FA24D8"/>
    <w:rsid w:val="00FD5F28"/>
    <w:rsid w:val="00FE5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8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6C8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27807"/>
    <w:rPr>
      <w:rFonts w:ascii="Lucida Grande" w:hAnsi="Lucida Grande"/>
      <w:sz w:val="18"/>
      <w:szCs w:val="18"/>
    </w:rPr>
  </w:style>
  <w:style w:type="character" w:styleId="Kommentarzeichen">
    <w:name w:val="annotation reference"/>
    <w:basedOn w:val="Absatz-Standardschriftart"/>
    <w:uiPriority w:val="99"/>
    <w:semiHidden/>
    <w:unhideWhenUsed/>
    <w:rsid w:val="000C3F3F"/>
    <w:rPr>
      <w:sz w:val="16"/>
      <w:szCs w:val="16"/>
    </w:rPr>
  </w:style>
  <w:style w:type="paragraph" w:styleId="Kommentartext">
    <w:name w:val="annotation text"/>
    <w:basedOn w:val="Standard"/>
    <w:link w:val="KommentartextZchn"/>
    <w:uiPriority w:val="99"/>
    <w:semiHidden/>
    <w:unhideWhenUsed/>
    <w:rsid w:val="000C3F3F"/>
    <w:rPr>
      <w:sz w:val="20"/>
      <w:szCs w:val="20"/>
    </w:rPr>
  </w:style>
  <w:style w:type="character" w:customStyle="1" w:styleId="KommentartextZchn">
    <w:name w:val="Kommentartext Zchn"/>
    <w:basedOn w:val="Absatz-Standardschriftart"/>
    <w:link w:val="Kommentartext"/>
    <w:uiPriority w:val="99"/>
    <w:semiHidden/>
    <w:rsid w:val="000C3F3F"/>
  </w:style>
  <w:style w:type="paragraph" w:styleId="Kommentarthema">
    <w:name w:val="annotation subject"/>
    <w:basedOn w:val="Kommentartext"/>
    <w:next w:val="Kommentartext"/>
    <w:link w:val="KommentarthemaZchn"/>
    <w:uiPriority w:val="99"/>
    <w:semiHidden/>
    <w:unhideWhenUsed/>
    <w:rsid w:val="000C3F3F"/>
    <w:rPr>
      <w:b/>
      <w:bCs/>
    </w:rPr>
  </w:style>
  <w:style w:type="character" w:customStyle="1" w:styleId="KommentarthemaZchn">
    <w:name w:val="Kommentarthema Zchn"/>
    <w:basedOn w:val="KommentartextZchn"/>
    <w:link w:val="Kommentarthema"/>
    <w:uiPriority w:val="99"/>
    <w:semiHidden/>
    <w:rsid w:val="000C3F3F"/>
    <w:rPr>
      <w:b/>
      <w:bCs/>
    </w:rPr>
  </w:style>
  <w:style w:type="paragraph" w:styleId="berarbeitung">
    <w:name w:val="Revision"/>
    <w:hidden/>
    <w:uiPriority w:val="99"/>
    <w:semiHidden/>
    <w:rsid w:val="000C3F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6C8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27807"/>
    <w:rPr>
      <w:rFonts w:ascii="Lucida Grande" w:hAnsi="Lucida Grande"/>
      <w:sz w:val="18"/>
      <w:szCs w:val="18"/>
    </w:rPr>
  </w:style>
  <w:style w:type="character" w:styleId="Kommentarzeichen">
    <w:name w:val="annotation reference"/>
    <w:basedOn w:val="Absatz-Standardschriftart"/>
    <w:uiPriority w:val="99"/>
    <w:semiHidden/>
    <w:unhideWhenUsed/>
    <w:rsid w:val="000C3F3F"/>
    <w:rPr>
      <w:sz w:val="16"/>
      <w:szCs w:val="16"/>
    </w:rPr>
  </w:style>
  <w:style w:type="paragraph" w:styleId="Kommentartext">
    <w:name w:val="annotation text"/>
    <w:basedOn w:val="Standard"/>
    <w:link w:val="KommentartextZchn"/>
    <w:uiPriority w:val="99"/>
    <w:semiHidden/>
    <w:unhideWhenUsed/>
    <w:rsid w:val="000C3F3F"/>
    <w:rPr>
      <w:sz w:val="20"/>
      <w:szCs w:val="20"/>
    </w:rPr>
  </w:style>
  <w:style w:type="character" w:customStyle="1" w:styleId="KommentartextZchn">
    <w:name w:val="Kommentartext Zchn"/>
    <w:basedOn w:val="Absatz-Standardschriftart"/>
    <w:link w:val="Kommentartext"/>
    <w:uiPriority w:val="99"/>
    <w:semiHidden/>
    <w:rsid w:val="000C3F3F"/>
  </w:style>
  <w:style w:type="paragraph" w:styleId="Kommentarthema">
    <w:name w:val="annotation subject"/>
    <w:basedOn w:val="Kommentartext"/>
    <w:next w:val="Kommentartext"/>
    <w:link w:val="KommentarthemaZchn"/>
    <w:uiPriority w:val="99"/>
    <w:semiHidden/>
    <w:unhideWhenUsed/>
    <w:rsid w:val="000C3F3F"/>
    <w:rPr>
      <w:b/>
      <w:bCs/>
    </w:rPr>
  </w:style>
  <w:style w:type="character" w:customStyle="1" w:styleId="KommentarthemaZchn">
    <w:name w:val="Kommentarthema Zchn"/>
    <w:basedOn w:val="KommentartextZchn"/>
    <w:link w:val="Kommentarthema"/>
    <w:uiPriority w:val="99"/>
    <w:semiHidden/>
    <w:rsid w:val="000C3F3F"/>
    <w:rPr>
      <w:b/>
      <w:bCs/>
    </w:rPr>
  </w:style>
  <w:style w:type="paragraph" w:styleId="berarbeitung">
    <w:name w:val="Revision"/>
    <w:hidden/>
    <w:uiPriority w:val="99"/>
    <w:semiHidden/>
    <w:rsid w:val="000C3F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feil\AppData\Local\Temp\CT3LSAbstract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CT3LSAbstractSubmission</Template>
  <TotalTime>0</TotalTime>
  <Pages>1</Pages>
  <Words>433</Words>
  <Characters>2734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NOAA ESRL CSD</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kpfeil</dc:creator>
  <cp:lastModifiedBy>kpfeil</cp:lastModifiedBy>
  <cp:revision>3</cp:revision>
  <dcterms:created xsi:type="dcterms:W3CDTF">2015-11-04T15:45:00Z</dcterms:created>
  <dcterms:modified xsi:type="dcterms:W3CDTF">2015-11-04T15:47:00Z</dcterms:modified>
</cp:coreProperties>
</file>